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1B" w:rsidRDefault="00D10D1B" w:rsidP="00EC22DA">
      <w:pPr>
        <w:ind w:firstLine="567"/>
        <w:jc w:val="center"/>
        <w:rPr>
          <w:b/>
          <w:caps/>
          <w:sz w:val="28"/>
          <w:szCs w:val="28"/>
        </w:rPr>
      </w:pPr>
      <w:r w:rsidRPr="00EC22DA">
        <w:rPr>
          <w:b/>
          <w:caps/>
          <w:sz w:val="28"/>
          <w:szCs w:val="28"/>
        </w:rPr>
        <w:t>Билет № 23</w:t>
      </w:r>
    </w:p>
    <w:p w:rsidR="00EC22DA" w:rsidRPr="00EC22DA" w:rsidRDefault="00EC22DA" w:rsidP="00EC22DA">
      <w:pPr>
        <w:ind w:firstLine="567"/>
        <w:jc w:val="center"/>
        <w:rPr>
          <w:b/>
          <w:caps/>
          <w:sz w:val="28"/>
          <w:szCs w:val="28"/>
        </w:rPr>
      </w:pPr>
    </w:p>
    <w:p w:rsidR="00D10D1B" w:rsidRDefault="00D10D1B" w:rsidP="00EC22DA">
      <w:pPr>
        <w:numPr>
          <w:ilvl w:val="0"/>
          <w:numId w:val="1"/>
        </w:numPr>
        <w:ind w:left="0" w:firstLine="567"/>
        <w:jc w:val="center"/>
        <w:rPr>
          <w:b/>
          <w:sz w:val="28"/>
          <w:szCs w:val="28"/>
        </w:rPr>
      </w:pPr>
      <w:r w:rsidRPr="00EC22DA">
        <w:rPr>
          <w:b/>
          <w:sz w:val="28"/>
          <w:szCs w:val="28"/>
        </w:rPr>
        <w:t>Жанры музыкального искусства.</w:t>
      </w:r>
    </w:p>
    <w:p w:rsidR="00EC22DA" w:rsidRPr="00EC22DA" w:rsidRDefault="00EC22DA" w:rsidP="00EC22DA">
      <w:pPr>
        <w:ind w:left="567"/>
        <w:rPr>
          <w:b/>
          <w:sz w:val="28"/>
          <w:szCs w:val="28"/>
        </w:rPr>
      </w:pPr>
    </w:p>
    <w:p w:rsidR="009B5A1E" w:rsidRPr="00EC22DA" w:rsidRDefault="009B5A1E" w:rsidP="00EC22DA">
      <w:pPr>
        <w:ind w:firstLine="567"/>
        <w:jc w:val="both"/>
        <w:rPr>
          <w:sz w:val="28"/>
          <w:szCs w:val="28"/>
        </w:rPr>
      </w:pPr>
      <w:proofErr w:type="spellStart"/>
      <w:r w:rsidRPr="00EC22DA">
        <w:rPr>
          <w:sz w:val="28"/>
          <w:szCs w:val="28"/>
        </w:rPr>
        <w:t>Му́зыка</w:t>
      </w:r>
      <w:proofErr w:type="spellEnd"/>
      <w:r w:rsidRPr="00EC22DA">
        <w:rPr>
          <w:sz w:val="28"/>
          <w:szCs w:val="28"/>
        </w:rPr>
        <w:t xml:space="preserve"> (греч</w:t>
      </w:r>
      <w:proofErr w:type="gramStart"/>
      <w:r w:rsidRPr="00EC22DA">
        <w:rPr>
          <w:sz w:val="28"/>
          <w:szCs w:val="28"/>
        </w:rPr>
        <w:t>.</w:t>
      </w:r>
      <w:proofErr w:type="gramEnd"/>
      <w:r w:rsidRPr="00EC22DA">
        <w:rPr>
          <w:sz w:val="28"/>
          <w:szCs w:val="28"/>
        </w:rPr>
        <w:t xml:space="preserve"> μουσική, </w:t>
      </w:r>
      <w:proofErr w:type="gramStart"/>
      <w:r w:rsidRPr="00EC22DA">
        <w:rPr>
          <w:sz w:val="28"/>
          <w:szCs w:val="28"/>
        </w:rPr>
        <w:t>п</w:t>
      </w:r>
      <w:proofErr w:type="gramEnd"/>
      <w:r w:rsidRPr="00EC22DA">
        <w:rPr>
          <w:sz w:val="28"/>
          <w:szCs w:val="28"/>
        </w:rPr>
        <w:t>рилагательное от греч. μούσα — муза) — искусство, средством воплощения художественных образов для которого являются звук и тишина, особым образом организованные во времени.</w:t>
      </w:r>
      <w:r w:rsidR="009100E6">
        <w:rPr>
          <w:sz w:val="28"/>
          <w:szCs w:val="28"/>
        </w:rPr>
        <w:t xml:space="preserve"> </w:t>
      </w:r>
      <w:r w:rsidRPr="00EC22DA">
        <w:rPr>
          <w:sz w:val="28"/>
          <w:szCs w:val="28"/>
        </w:rPr>
        <w:t>Музыкальные произведения можно условно разделить по жанрам, направлениям и стилям. Критериями подобного разделения могут служить ритм, используемые инструменты, приёмы и другие параметры.</w:t>
      </w:r>
    </w:p>
    <w:p w:rsidR="009B5A1E" w:rsidRPr="00EC22DA" w:rsidRDefault="009B5A1E" w:rsidP="00EC22DA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gramStart"/>
      <w:r w:rsidRPr="00EC22DA">
        <w:rPr>
          <w:sz w:val="28"/>
          <w:szCs w:val="28"/>
        </w:rPr>
        <w:t xml:space="preserve">Народная музыка (англ. </w:t>
      </w:r>
      <w:proofErr w:type="spellStart"/>
      <w:r w:rsidRPr="00EC22DA">
        <w:rPr>
          <w:sz w:val="28"/>
          <w:szCs w:val="28"/>
        </w:rPr>
        <w:t>folk</w:t>
      </w:r>
      <w:proofErr w:type="spellEnd"/>
      <w:r w:rsidRPr="00EC22DA">
        <w:rPr>
          <w:sz w:val="28"/>
          <w:szCs w:val="28"/>
        </w:rPr>
        <w:t xml:space="preserve"> </w:t>
      </w:r>
      <w:proofErr w:type="spellStart"/>
      <w:r w:rsidRPr="00EC22DA">
        <w:rPr>
          <w:sz w:val="28"/>
          <w:szCs w:val="28"/>
        </w:rPr>
        <w:t>music</w:t>
      </w:r>
      <w:proofErr w:type="spellEnd"/>
      <w:r w:rsidRPr="00EC22DA">
        <w:rPr>
          <w:sz w:val="28"/>
          <w:szCs w:val="28"/>
        </w:rPr>
        <w:t>) — музыкально-поэтическое творчество народа, неотъемлемая часть народного творчества (фольклора), существующего, как правило, в устной (бесписьменной) форме, передаваемого из поколения в поколение.</w:t>
      </w:r>
      <w:proofErr w:type="gramEnd"/>
    </w:p>
    <w:p w:rsidR="00534501" w:rsidRDefault="009B5A1E" w:rsidP="00EC22DA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34501">
        <w:rPr>
          <w:sz w:val="28"/>
          <w:szCs w:val="28"/>
        </w:rPr>
        <w:t xml:space="preserve">Духовная музыка — музыкальные произведения, связанные с текстами религиозного характера, предназначенные для исполнения во время церковной службы или в быту. </w:t>
      </w:r>
    </w:p>
    <w:p w:rsidR="009B5A1E" w:rsidRPr="00534501" w:rsidRDefault="00EC22DA" w:rsidP="00EC22DA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34501">
        <w:rPr>
          <w:sz w:val="28"/>
          <w:szCs w:val="28"/>
        </w:rPr>
        <w:t>К</w:t>
      </w:r>
      <w:r w:rsidR="009B5A1E" w:rsidRPr="00534501">
        <w:rPr>
          <w:sz w:val="28"/>
          <w:szCs w:val="28"/>
        </w:rPr>
        <w:t>лассическая музыка –</w:t>
      </w:r>
      <w:r w:rsidR="009100E6">
        <w:rPr>
          <w:sz w:val="28"/>
          <w:szCs w:val="28"/>
        </w:rPr>
        <w:t xml:space="preserve"> так </w:t>
      </w:r>
      <w:r w:rsidR="009B5A1E" w:rsidRPr="00534501">
        <w:rPr>
          <w:sz w:val="28"/>
          <w:szCs w:val="28"/>
        </w:rPr>
        <w:t xml:space="preserve">часто называется «академическая» музыка, находящаяся в отношении </w:t>
      </w:r>
      <w:proofErr w:type="gramStart"/>
      <w:r w:rsidR="009B5A1E" w:rsidRPr="00534501">
        <w:rPr>
          <w:sz w:val="28"/>
          <w:szCs w:val="28"/>
        </w:rPr>
        <w:t>преемственности</w:t>
      </w:r>
      <w:proofErr w:type="gramEnd"/>
      <w:r w:rsidR="009B5A1E" w:rsidRPr="00534501">
        <w:rPr>
          <w:sz w:val="28"/>
          <w:szCs w:val="28"/>
        </w:rPr>
        <w:t xml:space="preserve"> прежде всего к сформировавшимся в Европе в XVII—XIX веков музыкальным жанрам и формам (о</w:t>
      </w:r>
      <w:r w:rsidR="009100E6">
        <w:rPr>
          <w:sz w:val="28"/>
          <w:szCs w:val="28"/>
        </w:rPr>
        <w:t>пера, симфония, соната и т. п.)</w:t>
      </w:r>
      <w:r w:rsidR="009B5A1E" w:rsidRPr="00534501">
        <w:rPr>
          <w:sz w:val="28"/>
          <w:szCs w:val="28"/>
        </w:rPr>
        <w:t>.</w:t>
      </w:r>
    </w:p>
    <w:p w:rsidR="009100E6" w:rsidRDefault="009B5A1E" w:rsidP="00EC22DA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100E6">
        <w:rPr>
          <w:sz w:val="28"/>
          <w:szCs w:val="28"/>
        </w:rPr>
        <w:t>Латиноамериканская музыка — обобщённое название музыкальных стилей и жанров стран Латинской Америки, а также</w:t>
      </w:r>
      <w:r w:rsidR="009100E6">
        <w:rPr>
          <w:sz w:val="28"/>
          <w:szCs w:val="28"/>
        </w:rPr>
        <w:t xml:space="preserve"> музыка выходцев из этих стран. </w:t>
      </w:r>
    </w:p>
    <w:p w:rsidR="009B5A1E" w:rsidRPr="009100E6" w:rsidRDefault="009B5A1E" w:rsidP="00EC22DA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100E6">
        <w:rPr>
          <w:sz w:val="28"/>
          <w:szCs w:val="28"/>
        </w:rPr>
        <w:t>Блюз - «рабочая песня», выкрики в ритуалах африканских религиозных культов (англ. (</w:t>
      </w:r>
      <w:proofErr w:type="spellStart"/>
      <w:r w:rsidRPr="009100E6">
        <w:rPr>
          <w:sz w:val="28"/>
          <w:szCs w:val="28"/>
        </w:rPr>
        <w:t>ring</w:t>
      </w:r>
      <w:proofErr w:type="spellEnd"/>
      <w:r w:rsidRPr="009100E6">
        <w:rPr>
          <w:sz w:val="28"/>
          <w:szCs w:val="28"/>
        </w:rPr>
        <w:t xml:space="preserve">) </w:t>
      </w:r>
      <w:proofErr w:type="spellStart"/>
      <w:r w:rsidRPr="009100E6">
        <w:rPr>
          <w:sz w:val="28"/>
          <w:szCs w:val="28"/>
        </w:rPr>
        <w:t>shout</w:t>
      </w:r>
      <w:proofErr w:type="spellEnd"/>
      <w:r w:rsidRPr="009100E6">
        <w:rPr>
          <w:sz w:val="28"/>
          <w:szCs w:val="28"/>
        </w:rPr>
        <w:t xml:space="preserve">), </w:t>
      </w:r>
      <w:proofErr w:type="spellStart"/>
      <w:r w:rsidRPr="009100E6">
        <w:rPr>
          <w:sz w:val="28"/>
          <w:szCs w:val="28"/>
        </w:rPr>
        <w:t>спиричуэлс</w:t>
      </w:r>
      <w:proofErr w:type="spellEnd"/>
      <w:r w:rsidRPr="009100E6">
        <w:rPr>
          <w:sz w:val="28"/>
          <w:szCs w:val="28"/>
        </w:rPr>
        <w:t xml:space="preserve"> (христианские песнопения в особой манере), </w:t>
      </w:r>
      <w:proofErr w:type="spellStart"/>
      <w:r w:rsidRPr="009100E6">
        <w:rPr>
          <w:sz w:val="28"/>
          <w:szCs w:val="28"/>
        </w:rPr>
        <w:t>шант</w:t>
      </w:r>
      <w:proofErr w:type="spellEnd"/>
      <w:r w:rsidRPr="009100E6">
        <w:rPr>
          <w:sz w:val="28"/>
          <w:szCs w:val="28"/>
        </w:rPr>
        <w:t xml:space="preserve"> и баллады (короткие стихотворные истории). Во многом повлиял на современную популярную музыку, в особенности таких жанров как «поп», «джаз», «рок-н-ролл» «</w:t>
      </w:r>
      <w:proofErr w:type="spellStart"/>
      <w:r w:rsidRPr="009100E6">
        <w:rPr>
          <w:sz w:val="28"/>
          <w:szCs w:val="28"/>
        </w:rPr>
        <w:t>соул</w:t>
      </w:r>
      <w:proofErr w:type="spellEnd"/>
      <w:r w:rsidRPr="009100E6">
        <w:rPr>
          <w:sz w:val="28"/>
          <w:szCs w:val="28"/>
        </w:rPr>
        <w:t>».</w:t>
      </w:r>
    </w:p>
    <w:p w:rsidR="00534501" w:rsidRDefault="009B5A1E" w:rsidP="00EC22DA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34501">
        <w:rPr>
          <w:sz w:val="28"/>
          <w:szCs w:val="28"/>
        </w:rPr>
        <w:t xml:space="preserve">Джаз — форма музыкального искусства, возникшая в конце XIX — начале XX века в США в результате синтеза африканской и европейской культур и получившая впоследствии повсеместное распространение. Характерными чертами музыкального языка джаза изначально </w:t>
      </w:r>
      <w:r w:rsidR="009100E6">
        <w:rPr>
          <w:sz w:val="28"/>
          <w:szCs w:val="28"/>
        </w:rPr>
        <w:t xml:space="preserve">стали импровизация, полиритмия </w:t>
      </w:r>
      <w:r w:rsidRPr="00534501">
        <w:rPr>
          <w:sz w:val="28"/>
          <w:szCs w:val="28"/>
        </w:rPr>
        <w:t xml:space="preserve">и уникальный комплекс приёмов исполнения ритмической фактуры — свинг. </w:t>
      </w:r>
    </w:p>
    <w:p w:rsidR="009B5A1E" w:rsidRPr="00534501" w:rsidRDefault="009B5A1E" w:rsidP="00EC22DA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34501">
        <w:rPr>
          <w:sz w:val="28"/>
          <w:szCs w:val="28"/>
        </w:rPr>
        <w:t>Кантри — наиболее распространённая разновидность североамериканской народной музыки, по популярности в США не уступающая поп-музыке.</w:t>
      </w:r>
    </w:p>
    <w:p w:rsidR="009B5A1E" w:rsidRPr="00EC22DA" w:rsidRDefault="009B5A1E" w:rsidP="00EC22DA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EC22DA">
        <w:rPr>
          <w:sz w:val="28"/>
          <w:szCs w:val="28"/>
        </w:rPr>
        <w:t>Шансон, романс, авторская песня — песенный жанр, возникший в середине XX века в разных странах. Его отличительными особенностями является совмещение в одном лице автора музыки, текста и исполнителя, гитарное сопровождение, приоритет значимости текста перед музыкой, ориентация на коллективное пение непрофессионалами.</w:t>
      </w:r>
    </w:p>
    <w:p w:rsidR="00534501" w:rsidRDefault="009B5A1E" w:rsidP="00EC22DA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34501">
        <w:rPr>
          <w:sz w:val="28"/>
          <w:szCs w:val="28"/>
        </w:rPr>
        <w:t xml:space="preserve">Электронная музыка — широкий музыкальный жанр, обозначающий музыку, созданную с использованием электронных музыкальных инструментов и технологий (чаще всего при помощи специальных компьютерных программ). </w:t>
      </w:r>
    </w:p>
    <w:p w:rsidR="00D10D1B" w:rsidRDefault="009B5A1E" w:rsidP="00EC22DA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34501">
        <w:rPr>
          <w:sz w:val="28"/>
          <w:szCs w:val="28"/>
        </w:rPr>
        <w:t>Рок — обобщающее название ряда направлений популярной музыки. Слово «</w:t>
      </w:r>
      <w:proofErr w:type="spellStart"/>
      <w:r w:rsidRPr="00534501">
        <w:rPr>
          <w:sz w:val="28"/>
          <w:szCs w:val="28"/>
        </w:rPr>
        <w:t>rock</w:t>
      </w:r>
      <w:proofErr w:type="spellEnd"/>
      <w:r w:rsidRPr="00534501">
        <w:rPr>
          <w:sz w:val="28"/>
          <w:szCs w:val="28"/>
        </w:rPr>
        <w:t>» — (в переводе с английского «качать, укачивать, качаться») — в данном случае указывает на характерные для этих направлений ритмические ощущения, связанные с определённой формой движения, по аналогии с «</w:t>
      </w:r>
      <w:proofErr w:type="spellStart"/>
      <w:r w:rsidRPr="00534501">
        <w:rPr>
          <w:sz w:val="28"/>
          <w:szCs w:val="28"/>
        </w:rPr>
        <w:t>roll</w:t>
      </w:r>
      <w:proofErr w:type="spellEnd"/>
      <w:r w:rsidRPr="00534501">
        <w:rPr>
          <w:sz w:val="28"/>
          <w:szCs w:val="28"/>
        </w:rPr>
        <w:t>», «</w:t>
      </w:r>
      <w:proofErr w:type="spellStart"/>
      <w:r w:rsidRPr="00534501">
        <w:rPr>
          <w:sz w:val="28"/>
          <w:szCs w:val="28"/>
        </w:rPr>
        <w:t>twist</w:t>
      </w:r>
      <w:proofErr w:type="spellEnd"/>
      <w:r w:rsidRPr="00534501">
        <w:rPr>
          <w:sz w:val="28"/>
          <w:szCs w:val="28"/>
        </w:rPr>
        <w:t>», «</w:t>
      </w:r>
      <w:proofErr w:type="spellStart"/>
      <w:r w:rsidRPr="00534501">
        <w:rPr>
          <w:sz w:val="28"/>
          <w:szCs w:val="28"/>
        </w:rPr>
        <w:t>swing</w:t>
      </w:r>
      <w:proofErr w:type="spellEnd"/>
      <w:r w:rsidRPr="00534501">
        <w:rPr>
          <w:sz w:val="28"/>
          <w:szCs w:val="28"/>
        </w:rPr>
        <w:t>», «</w:t>
      </w:r>
      <w:proofErr w:type="spellStart"/>
      <w:r w:rsidRPr="00534501">
        <w:rPr>
          <w:sz w:val="28"/>
          <w:szCs w:val="28"/>
        </w:rPr>
        <w:t>shake</w:t>
      </w:r>
      <w:proofErr w:type="spellEnd"/>
      <w:r w:rsidRPr="00534501">
        <w:rPr>
          <w:sz w:val="28"/>
          <w:szCs w:val="28"/>
        </w:rPr>
        <w:t xml:space="preserve">» и т. п. </w:t>
      </w:r>
    </w:p>
    <w:p w:rsidR="00534501" w:rsidRPr="00534501" w:rsidRDefault="00534501" w:rsidP="00534501">
      <w:pPr>
        <w:pStyle w:val="a3"/>
        <w:ind w:left="567"/>
        <w:jc w:val="both"/>
        <w:rPr>
          <w:sz w:val="28"/>
          <w:szCs w:val="28"/>
        </w:rPr>
      </w:pPr>
    </w:p>
    <w:p w:rsidR="00D10D1B" w:rsidRPr="00EC22DA" w:rsidRDefault="00D10D1B" w:rsidP="00EC22DA">
      <w:pPr>
        <w:numPr>
          <w:ilvl w:val="0"/>
          <w:numId w:val="1"/>
        </w:numPr>
        <w:ind w:left="0" w:firstLine="567"/>
        <w:jc w:val="center"/>
        <w:rPr>
          <w:b/>
          <w:sz w:val="28"/>
          <w:szCs w:val="28"/>
        </w:rPr>
      </w:pPr>
      <w:proofErr w:type="spellStart"/>
      <w:r w:rsidRPr="00EC22DA">
        <w:rPr>
          <w:b/>
          <w:sz w:val="28"/>
          <w:szCs w:val="28"/>
        </w:rPr>
        <w:lastRenderedPageBreak/>
        <w:t>Аркаим</w:t>
      </w:r>
      <w:proofErr w:type="spellEnd"/>
      <w:r w:rsidRPr="00EC22DA">
        <w:rPr>
          <w:b/>
          <w:sz w:val="28"/>
          <w:szCs w:val="28"/>
        </w:rPr>
        <w:t xml:space="preserve"> – памятник культуры Южного Урала.</w:t>
      </w:r>
    </w:p>
    <w:p w:rsidR="0043089C" w:rsidRDefault="0043089C" w:rsidP="00EC22DA">
      <w:pPr>
        <w:ind w:firstLine="567"/>
        <w:rPr>
          <w:sz w:val="28"/>
          <w:szCs w:val="28"/>
        </w:rPr>
      </w:pPr>
    </w:p>
    <w:p w:rsidR="00CE6475" w:rsidRDefault="003C7966" w:rsidP="003C7966">
      <w:pPr>
        <w:ind w:firstLine="567"/>
        <w:jc w:val="both"/>
        <w:rPr>
          <w:sz w:val="28"/>
          <w:szCs w:val="28"/>
        </w:rPr>
      </w:pPr>
      <w:proofErr w:type="spellStart"/>
      <w:r w:rsidRPr="003C7966">
        <w:rPr>
          <w:sz w:val="28"/>
          <w:szCs w:val="28"/>
        </w:rPr>
        <w:t>Аркаи́м</w:t>
      </w:r>
      <w:proofErr w:type="spellEnd"/>
      <w:r w:rsidRPr="003C7966">
        <w:rPr>
          <w:sz w:val="28"/>
          <w:szCs w:val="28"/>
        </w:rPr>
        <w:t xml:space="preserve"> — укреплённое поселение эпохи средней бронзы рубежа III—II тыс. до н. э., расположенное на возвышенном мысу, образованном слиянием рек </w:t>
      </w:r>
      <w:proofErr w:type="gramStart"/>
      <w:r w:rsidRPr="003C7966">
        <w:rPr>
          <w:sz w:val="28"/>
          <w:szCs w:val="28"/>
        </w:rPr>
        <w:t>Большая</w:t>
      </w:r>
      <w:proofErr w:type="gramEnd"/>
      <w:r w:rsidRPr="003C7966">
        <w:rPr>
          <w:sz w:val="28"/>
          <w:szCs w:val="28"/>
        </w:rPr>
        <w:t xml:space="preserve"> </w:t>
      </w:r>
      <w:proofErr w:type="spellStart"/>
      <w:r w:rsidRPr="003C7966">
        <w:rPr>
          <w:sz w:val="28"/>
          <w:szCs w:val="28"/>
        </w:rPr>
        <w:t>Караганка</w:t>
      </w:r>
      <w:proofErr w:type="spellEnd"/>
      <w:r w:rsidRPr="003C7966">
        <w:rPr>
          <w:sz w:val="28"/>
          <w:szCs w:val="28"/>
        </w:rPr>
        <w:t xml:space="preserve"> и </w:t>
      </w:r>
      <w:proofErr w:type="spellStart"/>
      <w:r w:rsidRPr="003C7966">
        <w:rPr>
          <w:sz w:val="28"/>
          <w:szCs w:val="28"/>
        </w:rPr>
        <w:t>Утяганка</w:t>
      </w:r>
      <w:proofErr w:type="spellEnd"/>
      <w:r w:rsidRPr="003C7966">
        <w:rPr>
          <w:sz w:val="28"/>
          <w:szCs w:val="28"/>
        </w:rPr>
        <w:t xml:space="preserve"> в 8 км к северу от посёлка Амурский и 2 км к юго-востоку от посёлка Александровского </w:t>
      </w:r>
      <w:proofErr w:type="spellStart"/>
      <w:r w:rsidRPr="003C7966">
        <w:rPr>
          <w:sz w:val="28"/>
          <w:szCs w:val="28"/>
        </w:rPr>
        <w:t>Брединского</w:t>
      </w:r>
      <w:proofErr w:type="spellEnd"/>
      <w:r w:rsidRPr="003C7966">
        <w:rPr>
          <w:sz w:val="28"/>
          <w:szCs w:val="28"/>
        </w:rPr>
        <w:t xml:space="preserve"> района Челябинской области. Поселение является природно-ландшафтным и историко-археологическим заповедником — филиалом </w:t>
      </w:r>
      <w:proofErr w:type="spellStart"/>
      <w:r w:rsidRPr="003C7966">
        <w:rPr>
          <w:sz w:val="28"/>
          <w:szCs w:val="28"/>
        </w:rPr>
        <w:t>Ильменского</w:t>
      </w:r>
      <w:proofErr w:type="spellEnd"/>
      <w:r w:rsidRPr="003C7966">
        <w:rPr>
          <w:sz w:val="28"/>
          <w:szCs w:val="28"/>
        </w:rPr>
        <w:t xml:space="preserve"> государственного заповедника имени В. И. Ленина </w:t>
      </w:r>
      <w:proofErr w:type="spellStart"/>
      <w:r w:rsidRPr="003C7966">
        <w:rPr>
          <w:sz w:val="28"/>
          <w:szCs w:val="28"/>
        </w:rPr>
        <w:t>УрО</w:t>
      </w:r>
      <w:proofErr w:type="spellEnd"/>
      <w:r w:rsidRPr="003C7966">
        <w:rPr>
          <w:sz w:val="28"/>
          <w:szCs w:val="28"/>
        </w:rPr>
        <w:t xml:space="preserve"> РАН. Памятник отличается уникальной сохранностью оборонительных сооружений, наличием синхронных могильников и целостностью исторического ландшафта.</w:t>
      </w:r>
    </w:p>
    <w:p w:rsidR="00CE6475" w:rsidRDefault="00CE6475" w:rsidP="00CE6475">
      <w:pPr>
        <w:ind w:firstLine="708"/>
        <w:jc w:val="both"/>
        <w:rPr>
          <w:sz w:val="28"/>
          <w:szCs w:val="28"/>
        </w:rPr>
      </w:pPr>
      <w:r w:rsidRPr="00CE6475">
        <w:rPr>
          <w:sz w:val="28"/>
          <w:szCs w:val="28"/>
        </w:rPr>
        <w:t xml:space="preserve">Памятник состоит из укрепленного города, двух некрополей и останков древних пастбищ (загонов); </w:t>
      </w:r>
    </w:p>
    <w:p w:rsidR="00CE6475" w:rsidRDefault="00CE6475" w:rsidP="00CE6475">
      <w:pPr>
        <w:ind w:firstLine="708"/>
        <w:jc w:val="both"/>
        <w:rPr>
          <w:sz w:val="28"/>
          <w:szCs w:val="28"/>
        </w:rPr>
      </w:pPr>
      <w:r w:rsidRPr="00CE6475">
        <w:rPr>
          <w:sz w:val="28"/>
          <w:szCs w:val="28"/>
        </w:rPr>
        <w:t xml:space="preserve">Город радиальной схемы сделан из двух круговых стен, одна из которых окружена другой. К обеим кольцевым стенам пристроены помещения, имеющие формы кругового сектора. Площадь помещений расположенных во внутренней кольцевой стене ~100 квадратных метров, а внутри внешней кольцевой стене ~ 18 квадратных метров. Различаются помещения личного и общественного пользования, жилые и мастерские. В некоторых помещениях обнаружены не только гончарные мастерские, но и металлургическое производство. </w:t>
      </w:r>
    </w:p>
    <w:p w:rsidR="00CE6475" w:rsidRPr="00CE6475" w:rsidRDefault="00CE6475" w:rsidP="00CE6475">
      <w:pPr>
        <w:ind w:firstLine="708"/>
        <w:jc w:val="both"/>
        <w:rPr>
          <w:sz w:val="28"/>
          <w:szCs w:val="28"/>
        </w:rPr>
      </w:pPr>
      <w:r w:rsidRPr="00CE6475">
        <w:rPr>
          <w:sz w:val="28"/>
          <w:szCs w:val="28"/>
        </w:rPr>
        <w:t>В центре города была площадь. Между стенами была кольцевая дорога, от этой дороги к центральной площади ведут прямые улицы. В городе имеется ливневая канализация с отводом воды за пределы города. Кольцевые стены и стены жилищ сделаны из бревен забитых глиной и высушенных (необожженных) глиняных кирпичей. По сути, город представлял собой крепость, состоящую из двух "многоквартирных" домов. В этом городе жили и работали люди, а животные паслись за пределами города, в том числе и в специальных загонах.</w:t>
      </w:r>
    </w:p>
    <w:p w:rsidR="00CE6475" w:rsidRPr="00CE6475" w:rsidRDefault="00CE6475" w:rsidP="00CE6475">
      <w:pPr>
        <w:ind w:firstLine="708"/>
        <w:jc w:val="both"/>
        <w:rPr>
          <w:sz w:val="28"/>
          <w:szCs w:val="28"/>
        </w:rPr>
      </w:pPr>
      <w:r w:rsidRPr="00CE6475">
        <w:rPr>
          <w:sz w:val="28"/>
          <w:szCs w:val="28"/>
        </w:rPr>
        <w:t>Город существовал примерно 300 лет, после чего произошёл пожар и город выгорел. Существует 3 версии возникновения пожара:</w:t>
      </w:r>
    </w:p>
    <w:p w:rsidR="00CE6475" w:rsidRPr="00CE6475" w:rsidRDefault="00CE6475" w:rsidP="00CE647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E6475">
        <w:rPr>
          <w:sz w:val="28"/>
          <w:szCs w:val="28"/>
        </w:rPr>
        <w:t>местные жители сами подожгли;</w:t>
      </w:r>
    </w:p>
    <w:p w:rsidR="00CE6475" w:rsidRPr="00CE6475" w:rsidRDefault="00CE6475" w:rsidP="00CE647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E6475">
        <w:rPr>
          <w:sz w:val="28"/>
          <w:szCs w:val="28"/>
        </w:rPr>
        <w:t>город спалил внешний враг;</w:t>
      </w:r>
    </w:p>
    <w:p w:rsidR="004D61F0" w:rsidRDefault="00CE6475" w:rsidP="00CE647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E6475">
        <w:rPr>
          <w:sz w:val="28"/>
          <w:szCs w:val="28"/>
        </w:rPr>
        <w:t>случайный пожар.</w:t>
      </w:r>
    </w:p>
    <w:p w:rsidR="004D61F0" w:rsidRPr="004D61F0" w:rsidRDefault="004D61F0" w:rsidP="004D61F0"/>
    <w:p w:rsidR="004D61F0" w:rsidRDefault="004D61F0" w:rsidP="004D61F0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837565</wp:posOffset>
            </wp:positionH>
            <wp:positionV relativeFrom="paragraph">
              <wp:posOffset>7620</wp:posOffset>
            </wp:positionV>
            <wp:extent cx="4237355" cy="263779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355" cy="263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7966" w:rsidRPr="004D61F0" w:rsidRDefault="004D61F0" w:rsidP="004D61F0">
      <w:pPr>
        <w:tabs>
          <w:tab w:val="left" w:pos="2396"/>
        </w:tabs>
      </w:pPr>
      <w:r>
        <w:tab/>
      </w:r>
    </w:p>
    <w:sectPr w:rsidR="003C7966" w:rsidRPr="004D61F0" w:rsidSect="00EC22DA">
      <w:pgSz w:w="11906" w:h="16838"/>
      <w:pgMar w:top="426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A75F0"/>
    <w:multiLevelType w:val="hybridMultilevel"/>
    <w:tmpl w:val="AB6A80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FB500AD"/>
    <w:multiLevelType w:val="hybridMultilevel"/>
    <w:tmpl w:val="259A103A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525AE0"/>
    <w:multiLevelType w:val="hybridMultilevel"/>
    <w:tmpl w:val="06A07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D10D1B"/>
    <w:rsid w:val="003C7966"/>
    <w:rsid w:val="0043089C"/>
    <w:rsid w:val="004D61F0"/>
    <w:rsid w:val="00534501"/>
    <w:rsid w:val="009100E6"/>
    <w:rsid w:val="009B5A1E"/>
    <w:rsid w:val="00CE6475"/>
    <w:rsid w:val="00D10D1B"/>
    <w:rsid w:val="00EB5FA2"/>
    <w:rsid w:val="00EC2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A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61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1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2012-05-07T10:43:00Z</dcterms:created>
  <dcterms:modified xsi:type="dcterms:W3CDTF">2012-05-13T06:59:00Z</dcterms:modified>
</cp:coreProperties>
</file>